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E0" w:rsidRDefault="00154BE0" w:rsidP="00E03CCE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E03CCE" w:rsidRPr="00E03CCE" w:rsidRDefault="00E03CCE" w:rsidP="00E03CCE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6"/>
          <w:szCs w:val="36"/>
        </w:rPr>
      </w:pPr>
      <w:r w:rsidRPr="00E03CCE">
        <w:rPr>
          <w:rFonts w:ascii="Gotham-Bold" w:hAnsi="Gotham-Bold" w:cs="Gotham-Bold"/>
          <w:b/>
          <w:bCs/>
          <w:color w:val="000000"/>
          <w:sz w:val="36"/>
          <w:szCs w:val="36"/>
        </w:rPr>
        <w:t xml:space="preserve">Murphy, Jim. </w:t>
      </w:r>
      <w:proofErr w:type="gramStart"/>
      <w:r w:rsidRPr="00E03CCE">
        <w:rPr>
          <w:rFonts w:ascii="Gotham-BoldItalic" w:hAnsi="Gotham-BoldItalic" w:cs="Gotham-BoldItalic"/>
          <w:b/>
          <w:bCs/>
          <w:i/>
          <w:iCs/>
          <w:color w:val="000000"/>
          <w:sz w:val="36"/>
          <w:szCs w:val="36"/>
        </w:rPr>
        <w:t>The Great Fire</w:t>
      </w:r>
      <w:r w:rsidRPr="00E03CCE">
        <w:rPr>
          <w:rFonts w:ascii="Gotham-Bold" w:hAnsi="Gotham-Bold" w:cs="Gotham-Bold"/>
          <w:b/>
          <w:bCs/>
          <w:color w:val="000000"/>
          <w:sz w:val="36"/>
          <w:szCs w:val="36"/>
        </w:rPr>
        <w:t>.</w:t>
      </w:r>
      <w:proofErr w:type="gramEnd"/>
      <w:r w:rsidRPr="00E03CCE">
        <w:rPr>
          <w:rFonts w:ascii="Gotham-Bold" w:hAnsi="Gotham-Bold" w:cs="Gotham-Bold"/>
          <w:b/>
          <w:bCs/>
          <w:color w:val="000000"/>
          <w:sz w:val="36"/>
          <w:szCs w:val="36"/>
        </w:rPr>
        <w:t xml:space="preserve"> New York: Scholastic, 1995. (1995)</w:t>
      </w:r>
    </w:p>
    <w:p w:rsidR="00E03CCE" w:rsidRPr="0091782A" w:rsidRDefault="00E03CCE" w:rsidP="00E03CCE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  <w:r w:rsidRPr="00E03CCE">
        <w:rPr>
          <w:rFonts w:ascii="Gotham-Bold" w:hAnsi="Gotham-Bold" w:cs="Gotham-Bold"/>
          <w:b/>
          <w:bCs/>
          <w:color w:val="000000"/>
          <w:sz w:val="36"/>
          <w:szCs w:val="36"/>
        </w:rPr>
        <w:t>From Chapter 1: “A City Ready to Burn”</w:t>
      </w:r>
    </w:p>
    <w:p w:rsidR="00E03CCE" w:rsidRDefault="00E03CCE" w:rsidP="00E03CCE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91782A" w:rsidRPr="0091782A" w:rsidRDefault="0091782A" w:rsidP="00E03CCE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E03CCE" w:rsidRPr="0091782A" w:rsidRDefault="00E03CCE" w:rsidP="00E03CCE">
      <w:pPr>
        <w:autoSpaceDE w:val="0"/>
        <w:autoSpaceDN w:val="0"/>
        <w:adjustRightInd w:val="0"/>
        <w:spacing w:after="0" w:line="168" w:lineRule="auto"/>
        <w:rPr>
          <w:rFonts w:ascii="Gotham-Book" w:eastAsia="Gotham-Book" w:hAnsi="Gotham-Bold" w:cs="Gotham-Book"/>
          <w:color w:val="000000"/>
          <w:sz w:val="34"/>
          <w:szCs w:val="34"/>
        </w:rPr>
      </w:pPr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>Chicago in 1871 was a city ready to burn. The city boasted having 59,500 buildings, many of them</w:t>
      </w:r>
      <w:r w:rsidRPr="0091782A">
        <w:rPr>
          <w:rFonts w:ascii="Gotham-Book" w:eastAsia="Gotham-Book" w:hAnsi="Gotham-Bold" w:cs="Gotham-Book" w:hint="eastAsia"/>
          <w:color w:val="000000"/>
          <w:sz w:val="34"/>
          <w:szCs w:val="34"/>
        </w:rPr>
        <w:t>—</w:t>
      </w:r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>such as the Courthouse and the Tribune Building</w:t>
      </w:r>
      <w:r w:rsidRPr="0091782A">
        <w:rPr>
          <w:rFonts w:ascii="Gotham-Book" w:eastAsia="Gotham-Book" w:hAnsi="Gotham-Bold" w:cs="Gotham-Book" w:hint="eastAsia"/>
          <w:color w:val="000000"/>
          <w:sz w:val="34"/>
          <w:szCs w:val="34"/>
        </w:rPr>
        <w:t>—</w:t>
      </w:r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 xml:space="preserve">large and ornately decorated. The trouble was that about two-thirds of all these structures were made entirely of wood. Many of the remaining buildings (even the ones proclaimed to be </w:t>
      </w:r>
      <w:r w:rsidRPr="0091782A">
        <w:rPr>
          <w:rFonts w:ascii="Gotham-Book" w:eastAsia="Gotham-Book" w:hAnsi="Gotham-Bold" w:cs="Gotham-Book" w:hint="eastAsia"/>
          <w:color w:val="000000"/>
          <w:sz w:val="34"/>
          <w:szCs w:val="34"/>
        </w:rPr>
        <w:t>“</w:t>
      </w:r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>fireproof</w:t>
      </w:r>
      <w:r w:rsidRPr="0091782A">
        <w:rPr>
          <w:rFonts w:ascii="Gotham-Book" w:eastAsia="Gotham-Book" w:hAnsi="Gotham-Bold" w:cs="Gotham-Book" w:hint="eastAsia"/>
          <w:color w:val="000000"/>
          <w:sz w:val="34"/>
          <w:szCs w:val="34"/>
        </w:rPr>
        <w:t>”</w:t>
      </w:r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 xml:space="preserve">) looked solid, but were actually jerrybuilt affairs; the stone or brick exteriors hid wooden frames and floors, all topped with highly flammable tar or shingle roofs. It was also a common practice to disguise wood as another kind of building material. The fancy exterior decorations on just about every building were carved from wood, </w:t>
      </w:r>
      <w:proofErr w:type="gramStart"/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>then</w:t>
      </w:r>
      <w:proofErr w:type="gramEnd"/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 xml:space="preserve"> painted to look like stone or marble. Most churches had steeples that appeared to be solid from the street, but a closer inspection would reveal a wooden framework covered with cleverly painted copper or tin. </w:t>
      </w:r>
    </w:p>
    <w:p w:rsidR="00E03CCE" w:rsidRPr="0091782A" w:rsidRDefault="00E03CCE" w:rsidP="00E03CCE">
      <w:pPr>
        <w:autoSpaceDE w:val="0"/>
        <w:autoSpaceDN w:val="0"/>
        <w:adjustRightInd w:val="0"/>
        <w:spacing w:after="0" w:line="168" w:lineRule="auto"/>
        <w:rPr>
          <w:rFonts w:ascii="Gotham-Book" w:eastAsia="Gotham-Book" w:hAnsi="Gotham-Bold" w:cs="Gotham-Book"/>
          <w:color w:val="000000"/>
          <w:sz w:val="16"/>
          <w:szCs w:val="16"/>
        </w:rPr>
      </w:pPr>
    </w:p>
    <w:p w:rsidR="00E03CCE" w:rsidRPr="0091782A" w:rsidRDefault="00E03CCE" w:rsidP="00E03CCE">
      <w:pPr>
        <w:autoSpaceDE w:val="0"/>
        <w:autoSpaceDN w:val="0"/>
        <w:adjustRightInd w:val="0"/>
        <w:spacing w:after="0" w:line="168" w:lineRule="auto"/>
        <w:rPr>
          <w:rFonts w:ascii="Gotham-Book" w:eastAsia="Gotham-Book" w:hAnsi="Gotham-Bold" w:cs="Gotham-Book"/>
          <w:color w:val="000000"/>
          <w:sz w:val="34"/>
          <w:szCs w:val="34"/>
        </w:rPr>
      </w:pPr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>The situation was worst in the middle-class and poorer districts. Lot sizes were small, and owners usually filled them up with cottages, barns, sheds, and outhouses</w:t>
      </w:r>
      <w:r w:rsidRPr="0091782A">
        <w:rPr>
          <w:rFonts w:ascii="Gotham-Book" w:eastAsia="Gotham-Book" w:hAnsi="Gotham-Bold" w:cs="Gotham-Book" w:hint="eastAsia"/>
          <w:color w:val="000000"/>
          <w:sz w:val="34"/>
          <w:szCs w:val="34"/>
        </w:rPr>
        <w:t>—</w:t>
      </w:r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>all made of fast-burning wood, naturally. Because both Patrick and Catherine O</w:t>
      </w:r>
      <w:r w:rsidRPr="0091782A">
        <w:rPr>
          <w:rFonts w:ascii="Gotham-Book" w:eastAsia="Gotham-Book" w:hAnsi="Gotham-Bold" w:cs="Gotham-Book" w:hint="eastAsia"/>
          <w:color w:val="000000"/>
          <w:sz w:val="34"/>
          <w:szCs w:val="34"/>
        </w:rPr>
        <w:t>’</w:t>
      </w:r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>Leary worked, they were able to put a large addition on their cottage despite a lot size of just 25 by 100 feet. Interspersed in these residential areas were a variety of businesses</w:t>
      </w:r>
      <w:r w:rsidRPr="0091782A">
        <w:rPr>
          <w:rFonts w:ascii="Gotham-Book" w:eastAsia="Gotham-Book" w:hAnsi="Gotham-Bold" w:cs="Gotham-Book" w:hint="eastAsia"/>
          <w:color w:val="000000"/>
          <w:sz w:val="34"/>
          <w:szCs w:val="34"/>
        </w:rPr>
        <w:t>—</w:t>
      </w:r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 xml:space="preserve">paint factories, lumberyards, distilleries, gasworks, mills, furniture manufacturers, warehouses, and coal distributors. </w:t>
      </w:r>
    </w:p>
    <w:p w:rsidR="00E03CCE" w:rsidRPr="0091782A" w:rsidRDefault="00E03CCE" w:rsidP="00E03CCE">
      <w:pPr>
        <w:autoSpaceDE w:val="0"/>
        <w:autoSpaceDN w:val="0"/>
        <w:adjustRightInd w:val="0"/>
        <w:spacing w:after="0" w:line="168" w:lineRule="auto"/>
        <w:rPr>
          <w:rFonts w:ascii="Gotham-Book" w:eastAsia="Gotham-Book" w:hAnsi="Gotham-Bold" w:cs="Gotham-Book"/>
          <w:color w:val="000000"/>
          <w:sz w:val="16"/>
          <w:szCs w:val="16"/>
        </w:rPr>
      </w:pPr>
    </w:p>
    <w:p w:rsidR="00E03CCE" w:rsidRPr="0091782A" w:rsidRDefault="00E03CCE" w:rsidP="00E03CCE">
      <w:pPr>
        <w:autoSpaceDE w:val="0"/>
        <w:autoSpaceDN w:val="0"/>
        <w:adjustRightInd w:val="0"/>
        <w:spacing w:after="0" w:line="168" w:lineRule="auto"/>
        <w:rPr>
          <w:rFonts w:ascii="Gotham-Book" w:eastAsia="Gotham-Book" w:hAnsi="Gotham-Bold" w:cs="Gotham-Book"/>
          <w:color w:val="000000"/>
          <w:sz w:val="34"/>
          <w:szCs w:val="34"/>
        </w:rPr>
      </w:pPr>
      <w:r w:rsidRPr="0091782A">
        <w:rPr>
          <w:rFonts w:ascii="Gotham-Book" w:eastAsia="Gotham-Book" w:hAnsi="Gotham-Bold" w:cs="Gotham-Book"/>
          <w:color w:val="000000"/>
          <w:sz w:val="34"/>
          <w:szCs w:val="34"/>
        </w:rPr>
        <w:t>Wealthier districts were by no means free of fire hazards. Stately stone and brick homes had wood interiors, and stood side by side with smaller wood-frame houses. Wooden stables and other storage buildings were common, and trees lined the streets and filled the yards.</w:t>
      </w:r>
    </w:p>
    <w:p w:rsidR="00E03CCE" w:rsidRDefault="00E03CCE" w:rsidP="00E03CCE">
      <w:pPr>
        <w:autoSpaceDE w:val="0"/>
        <w:autoSpaceDN w:val="0"/>
        <w:adjustRightInd w:val="0"/>
        <w:spacing w:after="0" w:line="240" w:lineRule="auto"/>
        <w:rPr>
          <w:rFonts w:ascii="Gotham-BookItalic" w:hAnsi="Gotham-BookItalic" w:cs="Gotham-BookItalic"/>
          <w:i/>
          <w:iCs/>
          <w:color w:val="000000"/>
          <w:sz w:val="16"/>
          <w:szCs w:val="16"/>
        </w:rPr>
      </w:pPr>
    </w:p>
    <w:p w:rsidR="00154BE0" w:rsidRDefault="00154BE0" w:rsidP="00154BE0">
      <w:pPr>
        <w:spacing w:after="0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154BE0" w:rsidRPr="00154BE0" w:rsidRDefault="00154BE0" w:rsidP="00154BE0">
      <w:pPr>
        <w:spacing w:after="0"/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Taken from the Common Core Learning Standards</w:t>
      </w:r>
    </w:p>
    <w:p w:rsidR="00E03CCE" w:rsidRDefault="00E03CCE" w:rsidP="00154BE0">
      <w:pPr>
        <w:autoSpaceDE w:val="0"/>
        <w:autoSpaceDN w:val="0"/>
        <w:adjustRightInd w:val="0"/>
        <w:spacing w:after="0" w:line="240" w:lineRule="auto"/>
        <w:rPr>
          <w:rFonts w:ascii="Gotham-BookItalic" w:hAnsi="Gotham-BookItalic" w:cs="Gotham-BookItalic"/>
          <w:i/>
          <w:iCs/>
          <w:color w:val="000000"/>
          <w:sz w:val="16"/>
          <w:szCs w:val="16"/>
        </w:rPr>
      </w:pPr>
      <w:r>
        <w:rPr>
          <w:rFonts w:ascii="Gotham-BookItalic" w:hAnsi="Gotham-BookItalic" w:cs="Gotham-BookItalic"/>
          <w:i/>
          <w:iCs/>
          <w:color w:val="000000"/>
          <w:sz w:val="16"/>
          <w:szCs w:val="16"/>
        </w:rPr>
        <w:t>Media Text</w:t>
      </w:r>
    </w:p>
    <w:p w:rsidR="00E03CCE" w:rsidRDefault="00E03CCE" w:rsidP="00154BE0">
      <w:pPr>
        <w:autoSpaceDE w:val="0"/>
        <w:autoSpaceDN w:val="0"/>
        <w:adjustRightInd w:val="0"/>
        <w:spacing w:after="0" w:line="240" w:lineRule="auto"/>
        <w:rPr>
          <w:rFonts w:ascii="Gotham-BookItalic" w:hAnsi="Gotham-BookItalic" w:cs="Gotham-BookItalic"/>
          <w:i/>
          <w:iCs/>
          <w:color w:val="000000"/>
          <w:sz w:val="16"/>
          <w:szCs w:val="16"/>
        </w:rPr>
      </w:pPr>
      <w:r>
        <w:rPr>
          <w:rFonts w:ascii="Gotham-BookItalic" w:hAnsi="Gotham-BookItalic" w:cs="Gotham-BookItalic"/>
          <w:i/>
          <w:iCs/>
          <w:color w:val="000000"/>
          <w:sz w:val="16"/>
          <w:szCs w:val="16"/>
        </w:rPr>
        <w:t>The Great Chicago Fire, an exhibit created by the Chicago Historical Society that includes essays and images:</w:t>
      </w:r>
    </w:p>
    <w:p w:rsidR="00E03CCE" w:rsidRDefault="00E03CCE" w:rsidP="00154BE0">
      <w:pPr>
        <w:autoSpaceDE w:val="0"/>
        <w:autoSpaceDN w:val="0"/>
        <w:adjustRightInd w:val="0"/>
        <w:spacing w:after="0" w:line="240" w:lineRule="auto"/>
        <w:rPr>
          <w:rFonts w:ascii="Gotham-BookItalic" w:hAnsi="Gotham-BookItalic" w:cs="Gotham-BookItalic"/>
          <w:i/>
          <w:iCs/>
          <w:color w:val="1E3BFF"/>
          <w:sz w:val="16"/>
          <w:szCs w:val="16"/>
        </w:rPr>
      </w:pPr>
      <w:r>
        <w:rPr>
          <w:rFonts w:ascii="Gotham-BookItalic" w:hAnsi="Gotham-BookItalic" w:cs="Gotham-BookItalic"/>
          <w:i/>
          <w:iCs/>
          <w:color w:val="1E3BFF"/>
          <w:sz w:val="16"/>
          <w:szCs w:val="16"/>
        </w:rPr>
        <w:t>http://www.chicagohs.org/fire/intro/gcf-index.html</w:t>
      </w:r>
    </w:p>
    <w:p w:rsidR="00E03CCE" w:rsidRDefault="00E03CCE"/>
    <w:sectPr w:rsidR="00E03CCE" w:rsidSect="00E03CCE">
      <w:headerReference w:type="default" r:id="rId7"/>
      <w:footerReference w:type="default" r:id="rId8"/>
      <w:pgSz w:w="15840" w:h="12240" w:orient="landscape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61" w:rsidRDefault="00A14D61" w:rsidP="00E03CCE">
      <w:pPr>
        <w:spacing w:after="0" w:line="240" w:lineRule="auto"/>
      </w:pPr>
      <w:r>
        <w:separator/>
      </w:r>
    </w:p>
  </w:endnote>
  <w:endnote w:type="continuationSeparator" w:id="0">
    <w:p w:rsidR="00A14D61" w:rsidRDefault="00A14D61" w:rsidP="00E0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64" w:rsidRDefault="00DF0464" w:rsidP="00DF0464">
    <w:pPr>
      <w:pStyle w:val="Footer"/>
      <w:tabs>
        <w:tab w:val="clear" w:pos="4680"/>
        <w:tab w:val="clear" w:pos="9360"/>
        <w:tab w:val="left" w:pos="5670"/>
      </w:tabs>
      <w:jc w:val="both"/>
    </w:pPr>
    <w:r>
      <w:t xml:space="preserve">High Intermediate, Low advanced, High Advanced </w:t>
    </w:r>
    <w:r w:rsidRPr="00DF0464">
      <w:rPr>
        <w:color w:val="FF0000"/>
      </w:rPr>
      <w:t>ESL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61" w:rsidRDefault="00A14D61" w:rsidP="00E03CCE">
      <w:pPr>
        <w:spacing w:after="0" w:line="240" w:lineRule="auto"/>
      </w:pPr>
      <w:r>
        <w:separator/>
      </w:r>
    </w:p>
  </w:footnote>
  <w:footnote w:type="continuationSeparator" w:id="0">
    <w:p w:rsidR="00A14D61" w:rsidRDefault="00A14D61" w:rsidP="00E0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64" w:rsidRPr="00DF0464" w:rsidRDefault="00DF0464" w:rsidP="00DF0464">
    <w:pPr>
      <w:pStyle w:val="Header"/>
      <w:jc w:val="right"/>
      <w:rPr>
        <w:color w:val="FF0000"/>
      </w:rPr>
    </w:pPr>
    <w:r w:rsidRPr="00DF0464">
      <w:rPr>
        <w:color w:val="FF0000"/>
      </w:rPr>
      <w:t>BE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CE"/>
    <w:rsid w:val="00154BE0"/>
    <w:rsid w:val="0091782A"/>
    <w:rsid w:val="00A14D61"/>
    <w:rsid w:val="00A470E9"/>
    <w:rsid w:val="00B903A3"/>
    <w:rsid w:val="00D40BCD"/>
    <w:rsid w:val="00D764A2"/>
    <w:rsid w:val="00DF0464"/>
    <w:rsid w:val="00E0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CCE"/>
  </w:style>
  <w:style w:type="paragraph" w:styleId="Footer">
    <w:name w:val="footer"/>
    <w:basedOn w:val="Normal"/>
    <w:link w:val="FooterChar"/>
    <w:uiPriority w:val="99"/>
    <w:unhideWhenUsed/>
    <w:rsid w:val="00E03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CCE"/>
  </w:style>
  <w:style w:type="paragraph" w:styleId="Footer">
    <w:name w:val="footer"/>
    <w:basedOn w:val="Normal"/>
    <w:link w:val="FooterChar"/>
    <w:uiPriority w:val="99"/>
    <w:unhideWhenUsed/>
    <w:rsid w:val="00E03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Marvin Superville</cp:lastModifiedBy>
  <cp:revision>2</cp:revision>
  <cp:lastPrinted>2014-01-30T14:45:00Z</cp:lastPrinted>
  <dcterms:created xsi:type="dcterms:W3CDTF">2014-04-04T19:31:00Z</dcterms:created>
  <dcterms:modified xsi:type="dcterms:W3CDTF">2014-04-04T19:31:00Z</dcterms:modified>
</cp:coreProperties>
</file>