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36" w:rsidRDefault="006D5536" w:rsidP="0010757B">
      <w:pPr>
        <w:pStyle w:val="BodyTextIndent2"/>
        <w:ind w:left="0" w:firstLine="720"/>
        <w:jc w:val="center"/>
        <w:rPr>
          <w:b/>
          <w:sz w:val="24"/>
          <w:szCs w:val="24"/>
        </w:rPr>
      </w:pPr>
      <w:r>
        <w:rPr>
          <w:b/>
          <w:sz w:val="24"/>
          <w:szCs w:val="24"/>
        </w:rPr>
        <w:t>FOR COLLEGE TRANSITION PROGRAMS ONLY</w:t>
      </w:r>
    </w:p>
    <w:p w:rsidR="0010757B" w:rsidRPr="00E41084" w:rsidRDefault="0010757B" w:rsidP="0010757B">
      <w:pPr>
        <w:pStyle w:val="BodyTextIndent2"/>
        <w:ind w:left="0" w:firstLine="720"/>
        <w:jc w:val="center"/>
        <w:rPr>
          <w:b/>
          <w:sz w:val="24"/>
          <w:szCs w:val="24"/>
        </w:rPr>
      </w:pPr>
      <w:r w:rsidRPr="00E41084">
        <w:rPr>
          <w:b/>
          <w:sz w:val="24"/>
          <w:szCs w:val="24"/>
        </w:rPr>
        <w:t>Postsecondary Performance Target Worksheet</w:t>
      </w:r>
    </w:p>
    <w:p w:rsidR="0010757B" w:rsidRPr="00E41084" w:rsidRDefault="0010757B" w:rsidP="0010757B">
      <w:pPr>
        <w:pStyle w:val="BodyTextIndent2"/>
        <w:ind w:left="0" w:firstLine="720"/>
        <w:jc w:val="center"/>
        <w:rPr>
          <w:b/>
          <w:sz w:val="24"/>
          <w:szCs w:val="24"/>
        </w:rPr>
      </w:pPr>
      <w:r w:rsidRPr="00E41084">
        <w:rPr>
          <w:b/>
          <w:sz w:val="24"/>
          <w:szCs w:val="24"/>
        </w:rPr>
        <w:t>Performance Success Indicators</w:t>
      </w:r>
    </w:p>
    <w:p w:rsidR="0010757B" w:rsidRPr="00E41084" w:rsidRDefault="0010757B" w:rsidP="0010757B">
      <w:pPr>
        <w:pStyle w:val="BodyTextIndent2"/>
        <w:ind w:left="0" w:firstLine="720"/>
        <w:rPr>
          <w:b/>
          <w:sz w:val="24"/>
          <w:szCs w:val="24"/>
        </w:rPr>
      </w:pPr>
    </w:p>
    <w:p w:rsidR="0010757B" w:rsidRPr="00E41084" w:rsidRDefault="0010757B" w:rsidP="0010757B">
      <w:pPr>
        <w:pStyle w:val="BodyTextIndent2"/>
        <w:ind w:left="0" w:firstLine="720"/>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046"/>
        <w:gridCol w:w="2340"/>
      </w:tblGrid>
      <w:tr w:rsidR="0010757B" w:rsidRPr="00E41084" w:rsidTr="00507A70">
        <w:trPr>
          <w:jc w:val="center"/>
        </w:trPr>
        <w:tc>
          <w:tcPr>
            <w:tcW w:w="3192" w:type="dxa"/>
            <w:shd w:val="clear" w:color="auto" w:fill="BFBFBF"/>
          </w:tcPr>
          <w:p w:rsidR="0010757B" w:rsidRPr="00E41084" w:rsidRDefault="0010757B" w:rsidP="00507A70">
            <w:pPr>
              <w:pStyle w:val="BodyTextIndent2"/>
              <w:ind w:left="0"/>
              <w:jc w:val="center"/>
              <w:rPr>
                <w:rFonts w:eastAsia="Calibri"/>
                <w:b/>
                <w:sz w:val="24"/>
                <w:szCs w:val="24"/>
              </w:rPr>
            </w:pPr>
          </w:p>
          <w:p w:rsidR="0010757B" w:rsidRPr="00E41084" w:rsidRDefault="0010757B" w:rsidP="00507A70">
            <w:pPr>
              <w:pStyle w:val="BodyTextIndent2"/>
              <w:ind w:left="0"/>
              <w:jc w:val="center"/>
              <w:rPr>
                <w:rFonts w:eastAsia="Calibri"/>
                <w:b/>
                <w:sz w:val="24"/>
                <w:szCs w:val="24"/>
              </w:rPr>
            </w:pPr>
            <w:r w:rsidRPr="00E41084">
              <w:rPr>
                <w:rFonts w:eastAsia="Calibri"/>
                <w:b/>
                <w:sz w:val="24"/>
                <w:szCs w:val="24"/>
              </w:rPr>
              <w:t>Success Indicator</w:t>
            </w:r>
          </w:p>
        </w:tc>
        <w:tc>
          <w:tcPr>
            <w:tcW w:w="2046" w:type="dxa"/>
            <w:shd w:val="clear" w:color="auto" w:fill="BFBFBF"/>
          </w:tcPr>
          <w:p w:rsidR="0010757B" w:rsidRPr="00E41084" w:rsidRDefault="0010757B" w:rsidP="00507A70">
            <w:pPr>
              <w:pStyle w:val="BodyTextIndent2"/>
              <w:ind w:left="0"/>
              <w:jc w:val="center"/>
              <w:rPr>
                <w:rFonts w:eastAsia="Calibri"/>
                <w:b/>
                <w:sz w:val="24"/>
                <w:szCs w:val="24"/>
              </w:rPr>
            </w:pPr>
            <w:r w:rsidRPr="00E41084">
              <w:rPr>
                <w:rFonts w:eastAsia="Calibri"/>
                <w:b/>
                <w:sz w:val="24"/>
                <w:szCs w:val="24"/>
              </w:rPr>
              <w:t>201</w:t>
            </w:r>
            <w:r w:rsidR="00710903">
              <w:rPr>
                <w:rFonts w:eastAsia="Calibri"/>
                <w:b/>
                <w:sz w:val="24"/>
                <w:szCs w:val="24"/>
              </w:rPr>
              <w:t>6</w:t>
            </w:r>
            <w:r w:rsidRPr="00E41084">
              <w:rPr>
                <w:rFonts w:eastAsia="Calibri"/>
                <w:b/>
                <w:sz w:val="24"/>
                <w:szCs w:val="24"/>
              </w:rPr>
              <w:t xml:space="preserve"> – 201</w:t>
            </w:r>
            <w:r w:rsidR="00710903">
              <w:rPr>
                <w:rFonts w:eastAsia="Calibri"/>
                <w:b/>
                <w:sz w:val="24"/>
                <w:szCs w:val="24"/>
              </w:rPr>
              <w:t>7</w:t>
            </w:r>
          </w:p>
          <w:p w:rsidR="0010757B" w:rsidRPr="00E41084" w:rsidRDefault="0010757B" w:rsidP="00507A70">
            <w:pPr>
              <w:pStyle w:val="BodyTextIndent2"/>
              <w:ind w:left="0"/>
              <w:jc w:val="center"/>
              <w:rPr>
                <w:rFonts w:eastAsia="Calibri"/>
                <w:b/>
                <w:sz w:val="24"/>
                <w:szCs w:val="24"/>
              </w:rPr>
            </w:pPr>
            <w:r w:rsidRPr="00E41084">
              <w:rPr>
                <w:rFonts w:eastAsia="Calibri"/>
                <w:b/>
                <w:sz w:val="24"/>
                <w:szCs w:val="24"/>
              </w:rPr>
              <w:t>Target</w:t>
            </w:r>
          </w:p>
        </w:tc>
        <w:tc>
          <w:tcPr>
            <w:tcW w:w="2340" w:type="dxa"/>
            <w:shd w:val="clear" w:color="auto" w:fill="BFBFBF"/>
          </w:tcPr>
          <w:p w:rsidR="0010757B" w:rsidRPr="00E41084" w:rsidRDefault="0010757B" w:rsidP="00507A70">
            <w:pPr>
              <w:pStyle w:val="BodyTextIndent2"/>
              <w:ind w:left="0"/>
              <w:jc w:val="center"/>
              <w:rPr>
                <w:rFonts w:eastAsia="Calibri"/>
                <w:b/>
                <w:sz w:val="24"/>
                <w:szCs w:val="24"/>
              </w:rPr>
            </w:pPr>
            <w:r w:rsidRPr="00E41084">
              <w:rPr>
                <w:rFonts w:eastAsia="Calibri"/>
                <w:b/>
                <w:sz w:val="24"/>
                <w:szCs w:val="24"/>
              </w:rPr>
              <w:t xml:space="preserve">Number of Students/Percent Projected for </w:t>
            </w:r>
          </w:p>
          <w:p w:rsidR="0010757B" w:rsidRPr="00E41084" w:rsidRDefault="0010757B" w:rsidP="00710903">
            <w:pPr>
              <w:pStyle w:val="BodyTextIndent2"/>
              <w:ind w:left="0"/>
              <w:jc w:val="center"/>
              <w:rPr>
                <w:rFonts w:eastAsia="Calibri"/>
                <w:b/>
                <w:sz w:val="24"/>
                <w:szCs w:val="24"/>
              </w:rPr>
            </w:pPr>
            <w:r w:rsidRPr="00E41084">
              <w:rPr>
                <w:rFonts w:eastAsia="Calibri"/>
                <w:b/>
                <w:sz w:val="24"/>
                <w:szCs w:val="24"/>
              </w:rPr>
              <w:t>201</w:t>
            </w:r>
            <w:r w:rsidR="00710903">
              <w:rPr>
                <w:rFonts w:eastAsia="Calibri"/>
                <w:b/>
                <w:sz w:val="24"/>
                <w:szCs w:val="24"/>
              </w:rPr>
              <w:t>6</w:t>
            </w:r>
            <w:r w:rsidRPr="00E41084">
              <w:rPr>
                <w:rFonts w:eastAsia="Calibri"/>
                <w:b/>
                <w:sz w:val="24"/>
                <w:szCs w:val="24"/>
              </w:rPr>
              <w:t>-201</w:t>
            </w:r>
            <w:r w:rsidR="00710903">
              <w:rPr>
                <w:rFonts w:eastAsia="Calibri"/>
                <w:b/>
                <w:sz w:val="24"/>
                <w:szCs w:val="24"/>
              </w:rPr>
              <w:t>7</w:t>
            </w:r>
            <w:bookmarkStart w:id="0" w:name="_GoBack"/>
            <w:bookmarkEnd w:id="0"/>
          </w:p>
        </w:tc>
      </w:tr>
      <w:tr w:rsidR="0010757B" w:rsidRPr="00E41084" w:rsidTr="00507A70">
        <w:trPr>
          <w:jc w:val="center"/>
        </w:trPr>
        <w:tc>
          <w:tcPr>
            <w:tcW w:w="3192" w:type="dxa"/>
            <w:shd w:val="clear" w:color="auto" w:fill="auto"/>
          </w:tcPr>
          <w:p w:rsidR="0010757B" w:rsidRPr="00E41084" w:rsidRDefault="0010757B" w:rsidP="00507A70">
            <w:pPr>
              <w:pStyle w:val="BodyTextIndent2"/>
              <w:ind w:left="0"/>
              <w:rPr>
                <w:rFonts w:eastAsia="Calibri"/>
                <w:sz w:val="24"/>
                <w:szCs w:val="24"/>
              </w:rPr>
            </w:pPr>
            <w:r w:rsidRPr="00E41084">
              <w:rPr>
                <w:rFonts w:eastAsia="Calibri"/>
                <w:sz w:val="24"/>
                <w:szCs w:val="24"/>
              </w:rPr>
              <w:t>Percent of students who will increase reading/math level on the TABE (or any other NYSED approved assessment) to 12.9 or higher</w:t>
            </w:r>
          </w:p>
        </w:tc>
        <w:tc>
          <w:tcPr>
            <w:tcW w:w="2046" w:type="dxa"/>
            <w:shd w:val="clear" w:color="auto" w:fill="auto"/>
          </w:tcPr>
          <w:p w:rsidR="0010757B" w:rsidRPr="00E41084" w:rsidRDefault="0010757B" w:rsidP="00507A70">
            <w:pPr>
              <w:pStyle w:val="BodyTextIndent2"/>
              <w:ind w:left="0"/>
              <w:rPr>
                <w:rFonts w:eastAsia="Calibri"/>
                <w:sz w:val="24"/>
                <w:szCs w:val="24"/>
              </w:rPr>
            </w:pPr>
          </w:p>
          <w:p w:rsidR="0010757B" w:rsidRPr="00E41084" w:rsidRDefault="0010757B" w:rsidP="00507A70">
            <w:pPr>
              <w:pStyle w:val="BodyTextIndent2"/>
              <w:ind w:left="0"/>
              <w:rPr>
                <w:rFonts w:eastAsia="Calibri"/>
                <w:sz w:val="24"/>
                <w:szCs w:val="24"/>
              </w:rPr>
            </w:pPr>
          </w:p>
          <w:p w:rsidR="0010757B" w:rsidRPr="00E41084" w:rsidRDefault="0010757B" w:rsidP="00507A70">
            <w:pPr>
              <w:pStyle w:val="BodyTextIndent2"/>
              <w:ind w:left="0"/>
              <w:jc w:val="center"/>
              <w:rPr>
                <w:rFonts w:eastAsia="Calibri"/>
                <w:sz w:val="24"/>
                <w:szCs w:val="24"/>
              </w:rPr>
            </w:pPr>
            <w:r w:rsidRPr="00E41084">
              <w:rPr>
                <w:rFonts w:eastAsia="Calibri"/>
                <w:sz w:val="24"/>
                <w:szCs w:val="24"/>
              </w:rPr>
              <w:t>88</w:t>
            </w:r>
          </w:p>
        </w:tc>
        <w:tc>
          <w:tcPr>
            <w:tcW w:w="2340" w:type="dxa"/>
            <w:shd w:val="clear" w:color="auto" w:fill="auto"/>
          </w:tcPr>
          <w:p w:rsidR="0010757B" w:rsidRPr="00E41084" w:rsidRDefault="0010757B" w:rsidP="00507A70">
            <w:pPr>
              <w:pStyle w:val="BodyTextIndent2"/>
              <w:ind w:left="0"/>
              <w:rPr>
                <w:rFonts w:eastAsia="Calibri"/>
                <w:sz w:val="24"/>
                <w:szCs w:val="24"/>
              </w:rPr>
            </w:pPr>
          </w:p>
        </w:tc>
      </w:tr>
      <w:tr w:rsidR="0010757B" w:rsidRPr="00E41084" w:rsidTr="00507A70">
        <w:trPr>
          <w:jc w:val="center"/>
        </w:trPr>
        <w:tc>
          <w:tcPr>
            <w:tcW w:w="3192" w:type="dxa"/>
            <w:shd w:val="clear" w:color="auto" w:fill="auto"/>
          </w:tcPr>
          <w:p w:rsidR="0010757B" w:rsidRPr="00E41084" w:rsidRDefault="0010757B" w:rsidP="00507A70">
            <w:pPr>
              <w:pStyle w:val="BodyTextIndent2"/>
              <w:ind w:left="0"/>
              <w:rPr>
                <w:rFonts w:eastAsia="Calibri"/>
                <w:sz w:val="24"/>
                <w:szCs w:val="24"/>
              </w:rPr>
            </w:pPr>
            <w:r w:rsidRPr="00E41084">
              <w:rPr>
                <w:rFonts w:eastAsia="Calibri"/>
                <w:sz w:val="24"/>
                <w:szCs w:val="24"/>
              </w:rPr>
              <w:t xml:space="preserve">Percent of NYS High School Equivalency recipients attempting a college entrance exam </w:t>
            </w:r>
          </w:p>
        </w:tc>
        <w:tc>
          <w:tcPr>
            <w:tcW w:w="2046" w:type="dxa"/>
            <w:shd w:val="clear" w:color="auto" w:fill="auto"/>
          </w:tcPr>
          <w:p w:rsidR="0010757B" w:rsidRPr="00E41084" w:rsidRDefault="0010757B" w:rsidP="00507A70">
            <w:pPr>
              <w:pStyle w:val="BodyTextIndent2"/>
              <w:ind w:left="0"/>
              <w:rPr>
                <w:rFonts w:eastAsia="Calibri"/>
                <w:sz w:val="24"/>
                <w:szCs w:val="24"/>
              </w:rPr>
            </w:pPr>
          </w:p>
          <w:p w:rsidR="0010757B" w:rsidRPr="00E41084" w:rsidRDefault="0010757B" w:rsidP="00507A70">
            <w:pPr>
              <w:pStyle w:val="BodyTextIndent2"/>
              <w:ind w:left="0"/>
              <w:rPr>
                <w:rFonts w:eastAsia="Calibri"/>
                <w:sz w:val="24"/>
                <w:szCs w:val="24"/>
              </w:rPr>
            </w:pPr>
            <w:r w:rsidRPr="00E41084">
              <w:rPr>
                <w:rFonts w:eastAsia="Calibri"/>
                <w:sz w:val="24"/>
                <w:szCs w:val="24"/>
              </w:rPr>
              <w:t>Data collected and recorded in ASISTS</w:t>
            </w:r>
          </w:p>
        </w:tc>
        <w:tc>
          <w:tcPr>
            <w:tcW w:w="2340" w:type="dxa"/>
            <w:shd w:val="clear" w:color="auto" w:fill="auto"/>
          </w:tcPr>
          <w:p w:rsidR="0010757B" w:rsidRPr="00E41084" w:rsidRDefault="0010757B" w:rsidP="00507A70">
            <w:pPr>
              <w:pStyle w:val="BodyTextIndent2"/>
              <w:ind w:left="0"/>
              <w:rPr>
                <w:rFonts w:eastAsia="Calibri"/>
                <w:sz w:val="24"/>
                <w:szCs w:val="24"/>
              </w:rPr>
            </w:pPr>
          </w:p>
        </w:tc>
      </w:tr>
      <w:tr w:rsidR="0010757B" w:rsidRPr="00E41084" w:rsidTr="00507A70">
        <w:trPr>
          <w:jc w:val="center"/>
        </w:trPr>
        <w:tc>
          <w:tcPr>
            <w:tcW w:w="3192" w:type="dxa"/>
            <w:shd w:val="clear" w:color="auto" w:fill="auto"/>
          </w:tcPr>
          <w:p w:rsidR="0010757B" w:rsidRPr="00E41084" w:rsidRDefault="0010757B" w:rsidP="00507A70">
            <w:pPr>
              <w:pStyle w:val="BodyTextIndent2"/>
              <w:ind w:left="0"/>
              <w:rPr>
                <w:rFonts w:eastAsia="Calibri"/>
                <w:sz w:val="24"/>
                <w:szCs w:val="24"/>
              </w:rPr>
            </w:pPr>
            <w:r w:rsidRPr="00E41084">
              <w:rPr>
                <w:rFonts w:eastAsia="Calibri"/>
                <w:sz w:val="24"/>
                <w:szCs w:val="24"/>
              </w:rPr>
              <w:t>Percent of NYS High School Equivalency recipients receiving acceptable cut score on college entrance exam</w:t>
            </w:r>
          </w:p>
        </w:tc>
        <w:tc>
          <w:tcPr>
            <w:tcW w:w="2046" w:type="dxa"/>
            <w:shd w:val="clear" w:color="auto" w:fill="auto"/>
          </w:tcPr>
          <w:p w:rsidR="0010757B" w:rsidRPr="00E41084" w:rsidRDefault="0010757B" w:rsidP="00507A70">
            <w:pPr>
              <w:pStyle w:val="BodyTextIndent2"/>
              <w:ind w:left="0"/>
              <w:rPr>
                <w:rFonts w:eastAsia="Calibri"/>
                <w:sz w:val="24"/>
                <w:szCs w:val="24"/>
              </w:rPr>
            </w:pPr>
          </w:p>
          <w:p w:rsidR="0010757B" w:rsidRPr="00E41084" w:rsidRDefault="0010757B" w:rsidP="00507A70">
            <w:pPr>
              <w:pStyle w:val="BodyTextIndent2"/>
              <w:ind w:left="0"/>
              <w:jc w:val="center"/>
              <w:rPr>
                <w:rFonts w:eastAsia="Calibri"/>
                <w:sz w:val="24"/>
                <w:szCs w:val="24"/>
              </w:rPr>
            </w:pPr>
            <w:r w:rsidRPr="00E41084">
              <w:rPr>
                <w:rFonts w:eastAsia="Calibri"/>
                <w:sz w:val="24"/>
                <w:szCs w:val="24"/>
              </w:rPr>
              <w:t>60</w:t>
            </w:r>
          </w:p>
        </w:tc>
        <w:tc>
          <w:tcPr>
            <w:tcW w:w="2340" w:type="dxa"/>
            <w:shd w:val="clear" w:color="auto" w:fill="auto"/>
          </w:tcPr>
          <w:p w:rsidR="0010757B" w:rsidRPr="00E41084" w:rsidRDefault="0010757B" w:rsidP="00507A70">
            <w:pPr>
              <w:pStyle w:val="BodyTextIndent2"/>
              <w:ind w:left="0"/>
              <w:rPr>
                <w:rFonts w:eastAsia="Calibri"/>
                <w:sz w:val="24"/>
                <w:szCs w:val="24"/>
              </w:rPr>
            </w:pPr>
          </w:p>
        </w:tc>
      </w:tr>
      <w:tr w:rsidR="0010757B" w:rsidRPr="00E41084" w:rsidTr="00507A70">
        <w:trPr>
          <w:jc w:val="center"/>
        </w:trPr>
        <w:tc>
          <w:tcPr>
            <w:tcW w:w="3192" w:type="dxa"/>
            <w:shd w:val="clear" w:color="auto" w:fill="auto"/>
          </w:tcPr>
          <w:p w:rsidR="0010757B" w:rsidRPr="00E41084" w:rsidRDefault="0010757B" w:rsidP="00507A70">
            <w:pPr>
              <w:pStyle w:val="BodyTextIndent2"/>
              <w:ind w:left="0"/>
              <w:rPr>
                <w:rFonts w:eastAsia="Calibri"/>
                <w:sz w:val="24"/>
                <w:szCs w:val="24"/>
              </w:rPr>
            </w:pPr>
            <w:r w:rsidRPr="00E41084">
              <w:rPr>
                <w:rFonts w:eastAsia="Calibri"/>
                <w:sz w:val="24"/>
                <w:szCs w:val="24"/>
              </w:rPr>
              <w:t>Percent of NYS High School Equivalency students identified for developmental education classes in community college</w:t>
            </w:r>
          </w:p>
        </w:tc>
        <w:tc>
          <w:tcPr>
            <w:tcW w:w="2046" w:type="dxa"/>
            <w:shd w:val="clear" w:color="auto" w:fill="auto"/>
          </w:tcPr>
          <w:p w:rsidR="0010757B" w:rsidRPr="00E41084" w:rsidRDefault="0010757B" w:rsidP="00507A70">
            <w:pPr>
              <w:pStyle w:val="BodyTextIndent2"/>
              <w:ind w:left="0"/>
              <w:rPr>
                <w:rFonts w:eastAsia="Calibri"/>
                <w:sz w:val="24"/>
                <w:szCs w:val="24"/>
              </w:rPr>
            </w:pPr>
          </w:p>
          <w:p w:rsidR="0010757B" w:rsidRPr="00E41084" w:rsidRDefault="0010757B" w:rsidP="00507A70">
            <w:pPr>
              <w:pStyle w:val="BodyTextIndent2"/>
              <w:ind w:left="0"/>
              <w:rPr>
                <w:rFonts w:eastAsia="Calibri"/>
                <w:sz w:val="24"/>
                <w:szCs w:val="24"/>
              </w:rPr>
            </w:pPr>
            <w:r w:rsidRPr="00E41084">
              <w:rPr>
                <w:rFonts w:eastAsia="Calibri"/>
                <w:sz w:val="24"/>
                <w:szCs w:val="24"/>
              </w:rPr>
              <w:t>Data collected and recorded in ASISTS</w:t>
            </w:r>
          </w:p>
        </w:tc>
        <w:tc>
          <w:tcPr>
            <w:tcW w:w="2340" w:type="dxa"/>
            <w:shd w:val="clear" w:color="auto" w:fill="auto"/>
          </w:tcPr>
          <w:p w:rsidR="0010757B" w:rsidRPr="00E41084" w:rsidRDefault="0010757B" w:rsidP="00507A70">
            <w:pPr>
              <w:pStyle w:val="BodyTextIndent2"/>
              <w:ind w:left="0"/>
              <w:rPr>
                <w:rFonts w:eastAsia="Calibri"/>
                <w:sz w:val="24"/>
                <w:szCs w:val="24"/>
              </w:rPr>
            </w:pPr>
          </w:p>
        </w:tc>
      </w:tr>
      <w:tr w:rsidR="0010757B" w:rsidRPr="00E41084" w:rsidTr="00507A70">
        <w:trPr>
          <w:jc w:val="center"/>
        </w:trPr>
        <w:tc>
          <w:tcPr>
            <w:tcW w:w="3192" w:type="dxa"/>
            <w:shd w:val="clear" w:color="auto" w:fill="auto"/>
          </w:tcPr>
          <w:p w:rsidR="0010757B" w:rsidRPr="00E41084" w:rsidRDefault="0010757B" w:rsidP="00507A70">
            <w:pPr>
              <w:pStyle w:val="BodyTextIndent2"/>
              <w:ind w:left="0"/>
              <w:rPr>
                <w:rFonts w:eastAsia="Calibri"/>
                <w:sz w:val="24"/>
                <w:szCs w:val="24"/>
              </w:rPr>
            </w:pPr>
            <w:r w:rsidRPr="00E41084">
              <w:rPr>
                <w:rFonts w:eastAsia="Calibri"/>
                <w:sz w:val="24"/>
                <w:szCs w:val="24"/>
              </w:rPr>
              <w:t>Percent of NYS High School Equivalency students entering postsecondary study who drop out or stop out before attaining credential (students followed up through two program years after exiting adult literacy programming)</w:t>
            </w:r>
          </w:p>
        </w:tc>
        <w:tc>
          <w:tcPr>
            <w:tcW w:w="2046" w:type="dxa"/>
            <w:shd w:val="clear" w:color="auto" w:fill="auto"/>
          </w:tcPr>
          <w:p w:rsidR="0010757B" w:rsidRPr="00E41084" w:rsidRDefault="0010757B" w:rsidP="00507A70">
            <w:pPr>
              <w:pStyle w:val="BodyTextIndent2"/>
              <w:ind w:left="0"/>
              <w:jc w:val="center"/>
              <w:rPr>
                <w:rFonts w:eastAsia="Calibri"/>
                <w:sz w:val="24"/>
                <w:szCs w:val="24"/>
              </w:rPr>
            </w:pPr>
          </w:p>
          <w:p w:rsidR="0010757B" w:rsidRPr="00E41084" w:rsidRDefault="0010757B" w:rsidP="00507A70">
            <w:pPr>
              <w:pStyle w:val="BodyTextIndent2"/>
              <w:ind w:left="0"/>
              <w:jc w:val="center"/>
              <w:rPr>
                <w:rFonts w:eastAsia="Calibri"/>
                <w:sz w:val="24"/>
                <w:szCs w:val="24"/>
              </w:rPr>
            </w:pPr>
          </w:p>
          <w:p w:rsidR="0010757B" w:rsidRPr="00E41084" w:rsidRDefault="0010757B" w:rsidP="00507A70">
            <w:pPr>
              <w:pStyle w:val="BodyTextIndent2"/>
              <w:ind w:left="0"/>
              <w:jc w:val="center"/>
              <w:rPr>
                <w:rFonts w:eastAsia="Calibri"/>
                <w:sz w:val="24"/>
                <w:szCs w:val="24"/>
              </w:rPr>
            </w:pPr>
            <w:r w:rsidRPr="00E41084">
              <w:rPr>
                <w:rFonts w:eastAsia="Calibri"/>
                <w:sz w:val="24"/>
                <w:szCs w:val="24"/>
              </w:rPr>
              <w:t>Data collected from Postsecondary Data Systems</w:t>
            </w:r>
          </w:p>
        </w:tc>
        <w:tc>
          <w:tcPr>
            <w:tcW w:w="2340" w:type="dxa"/>
            <w:shd w:val="clear" w:color="auto" w:fill="auto"/>
          </w:tcPr>
          <w:p w:rsidR="0010757B" w:rsidRPr="00E41084" w:rsidRDefault="0010757B" w:rsidP="00507A70">
            <w:pPr>
              <w:pStyle w:val="BodyTextIndent2"/>
              <w:ind w:left="0"/>
              <w:rPr>
                <w:rFonts w:eastAsia="Calibri"/>
                <w:sz w:val="24"/>
                <w:szCs w:val="24"/>
              </w:rPr>
            </w:pPr>
          </w:p>
        </w:tc>
      </w:tr>
    </w:tbl>
    <w:p w:rsidR="0010757B" w:rsidRPr="00E41084" w:rsidRDefault="0010757B" w:rsidP="0010757B">
      <w:pPr>
        <w:pStyle w:val="BodyTextIndent2"/>
        <w:ind w:left="0" w:firstLine="720"/>
        <w:rPr>
          <w:sz w:val="24"/>
          <w:szCs w:val="24"/>
        </w:rPr>
      </w:pPr>
    </w:p>
    <w:p w:rsidR="00F835A5" w:rsidRDefault="00F835A5"/>
    <w:sectPr w:rsidR="00F8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DA" w:rsidRDefault="007431DA" w:rsidP="00531B52">
      <w:r>
        <w:separator/>
      </w:r>
    </w:p>
  </w:endnote>
  <w:endnote w:type="continuationSeparator" w:id="0">
    <w:p w:rsidR="007431DA" w:rsidRDefault="007431D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DA" w:rsidRDefault="007431DA" w:rsidP="00531B52">
      <w:r>
        <w:separator/>
      </w:r>
    </w:p>
  </w:footnote>
  <w:footnote w:type="continuationSeparator" w:id="0">
    <w:p w:rsidR="007431DA" w:rsidRDefault="007431DA"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B"/>
    <w:rsid w:val="00021A85"/>
    <w:rsid w:val="000962D3"/>
    <w:rsid w:val="000C7E16"/>
    <w:rsid w:val="0010757B"/>
    <w:rsid w:val="00192CC7"/>
    <w:rsid w:val="002C1C26"/>
    <w:rsid w:val="00301B32"/>
    <w:rsid w:val="003A5347"/>
    <w:rsid w:val="00531B52"/>
    <w:rsid w:val="006B51E5"/>
    <w:rsid w:val="006C30C6"/>
    <w:rsid w:val="006D5536"/>
    <w:rsid w:val="007030B6"/>
    <w:rsid w:val="00710903"/>
    <w:rsid w:val="007431DA"/>
    <w:rsid w:val="008777B6"/>
    <w:rsid w:val="008F1BAB"/>
    <w:rsid w:val="009B0F3A"/>
    <w:rsid w:val="00AA0383"/>
    <w:rsid w:val="00BE5DCB"/>
    <w:rsid w:val="00DE5B6E"/>
    <w:rsid w:val="00F069AC"/>
    <w:rsid w:val="00F4604F"/>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7B"/>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szCs w:val="24"/>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szCs w:val="24"/>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szCs w:val="24"/>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eastAsiaTheme="minorHAnsi" w:cstheme="minorBidi"/>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eastAsiaTheme="minorHAnsi" w:cstheme="minorBidi"/>
      <w:szCs w:val="24"/>
    </w:rPr>
  </w:style>
  <w:style w:type="character" w:customStyle="1" w:styleId="FooterChar">
    <w:name w:val="Footer Char"/>
    <w:basedOn w:val="DefaultParagraphFont"/>
    <w:link w:val="Footer"/>
    <w:uiPriority w:val="99"/>
    <w:rsid w:val="00531B52"/>
  </w:style>
  <w:style w:type="paragraph" w:styleId="BodyTextIndent2">
    <w:name w:val="Body Text Indent 2"/>
    <w:basedOn w:val="Normal"/>
    <w:link w:val="BodyTextIndent2Char"/>
    <w:rsid w:val="0010757B"/>
    <w:pPr>
      <w:tabs>
        <w:tab w:val="left" w:pos="-720"/>
      </w:tabs>
      <w:suppressAutoHyphens/>
      <w:ind w:left="1080"/>
    </w:pPr>
    <w:rPr>
      <w:sz w:val="23"/>
    </w:rPr>
  </w:style>
  <w:style w:type="character" w:customStyle="1" w:styleId="BodyTextIndent2Char">
    <w:name w:val="Body Text Indent 2 Char"/>
    <w:basedOn w:val="DefaultParagraphFont"/>
    <w:link w:val="BodyTextIndent2"/>
    <w:rsid w:val="0010757B"/>
    <w:rPr>
      <w:rFonts w:eastAsia="Times New Roman" w:cs="Times New Roman"/>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7B"/>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szCs w:val="24"/>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szCs w:val="24"/>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szCs w:val="24"/>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eastAsiaTheme="minorHAnsi" w:cstheme="minorBidi"/>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eastAsiaTheme="minorHAnsi" w:cstheme="minorBidi"/>
      <w:szCs w:val="24"/>
    </w:rPr>
  </w:style>
  <w:style w:type="character" w:customStyle="1" w:styleId="FooterChar">
    <w:name w:val="Footer Char"/>
    <w:basedOn w:val="DefaultParagraphFont"/>
    <w:link w:val="Footer"/>
    <w:uiPriority w:val="99"/>
    <w:rsid w:val="00531B52"/>
  </w:style>
  <w:style w:type="paragraph" w:styleId="BodyTextIndent2">
    <w:name w:val="Body Text Indent 2"/>
    <w:basedOn w:val="Normal"/>
    <w:link w:val="BodyTextIndent2Char"/>
    <w:rsid w:val="0010757B"/>
    <w:pPr>
      <w:tabs>
        <w:tab w:val="left" w:pos="-720"/>
      </w:tabs>
      <w:suppressAutoHyphens/>
      <w:ind w:left="1080"/>
    </w:pPr>
    <w:rPr>
      <w:sz w:val="23"/>
    </w:rPr>
  </w:style>
  <w:style w:type="character" w:customStyle="1" w:styleId="BodyTextIndent2Char">
    <w:name w:val="Body Text Indent 2 Char"/>
    <w:basedOn w:val="DefaultParagraphFont"/>
    <w:link w:val="BodyTextIndent2"/>
    <w:rsid w:val="0010757B"/>
    <w:rPr>
      <w:rFonts w:eastAsia="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2016-06-08T14:31:00Z</dcterms:created>
  <dcterms:modified xsi:type="dcterms:W3CDTF">2016-06-08T14:32:00Z</dcterms:modified>
</cp:coreProperties>
</file>